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6"/>
        <w:gridCol w:w="1606"/>
        <w:gridCol w:w="2551"/>
        <w:gridCol w:w="3261"/>
        <w:gridCol w:w="1842"/>
      </w:tblGrid>
      <w:tr w:rsidR="00024719" w:rsidRPr="00BF6736" w:rsidTr="00E93091">
        <w:tc>
          <w:tcPr>
            <w:tcW w:w="9776" w:type="dxa"/>
            <w:gridSpan w:val="5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4</w:t>
            </w: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. МАТЕРИАЛДЫК-ТЕХНИКАЛЫК БАЗА</w:t>
            </w:r>
          </w:p>
        </w:tc>
      </w:tr>
      <w:tr w:rsidR="00024719" w:rsidRPr="00BF6736" w:rsidTr="00E93091">
        <w:tc>
          <w:tcPr>
            <w:tcW w:w="516" w:type="dxa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4</w:t>
            </w: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.1</w:t>
            </w:r>
          </w:p>
        </w:tc>
        <w:tc>
          <w:tcPr>
            <w:tcW w:w="4157" w:type="dxa"/>
            <w:gridSpan w:val="2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Билим берүү процессинин катышуучуларына, анын ичинде ден соолугунун мүмкүнчүлүгү чектелген адамдарга жеткиликтүү болгон окуу имараттарынын, жайлардын жана материалдык ресурстардын (жабдылган окуу класстары, лабораториялар, компьютердик класстар, спорт зал,</w:t>
            </w:r>
            <w:r w:rsidR="004D47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 актылар залы, ашкана) болушу</w:t>
            </w:r>
          </w:p>
        </w:tc>
        <w:tc>
          <w:tcPr>
            <w:tcW w:w="3261" w:type="dxa"/>
          </w:tcPr>
          <w:p w:rsidR="00024719" w:rsidRPr="00BF6736" w:rsidRDefault="004D479C" w:rsidP="00E930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2020</w:t>
            </w:r>
            <w:r w:rsidR="000247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-жылы мектеп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тин терезелери  пластикке алмашылды </w:t>
            </w:r>
            <w:r w:rsidR="000247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.Предметтик кабинеттер жана компьютердик  класс заманбап үлгүдө жабдылган . Ашкана,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спорт зал, азем залы жана стадион(волейбол, баскетбол</w:t>
            </w:r>
            <w:r w:rsidR="000247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) аянтчалары бар. </w:t>
            </w:r>
          </w:p>
        </w:tc>
        <w:tc>
          <w:tcPr>
            <w:tcW w:w="1842" w:type="dxa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Материалдык техникалык база</w:t>
            </w:r>
          </w:p>
        </w:tc>
      </w:tr>
      <w:tr w:rsidR="00024719" w:rsidRPr="00BF6736" w:rsidTr="00E93091">
        <w:tc>
          <w:tcPr>
            <w:tcW w:w="516" w:type="dxa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4</w:t>
            </w: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.2</w:t>
            </w:r>
          </w:p>
        </w:tc>
        <w:tc>
          <w:tcPr>
            <w:tcW w:w="4157" w:type="dxa"/>
            <w:gridSpan w:val="2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Билим берүү чөйрөсүнүн коопсуздугунун талаптарын сактоо (экологиялык, санитардык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-</w:t>
            </w: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эпидемиологиялык жана гигиеналык эрежелер жана ченемдер, өрткө каршы коопсуздук, эмгекти коргоо жана коопсуздук техникасынын эрежелери)</w:t>
            </w:r>
          </w:p>
        </w:tc>
        <w:tc>
          <w:tcPr>
            <w:tcW w:w="3261" w:type="dxa"/>
          </w:tcPr>
          <w:p w:rsidR="00024719" w:rsidRPr="00BF6736" w:rsidRDefault="00024719" w:rsidP="00E930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Өрт,жолдо жүрүүнүн эрежелери,</w:t>
            </w: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 санитардык-эпидемиологиялык жана гигиеналык эрежелер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ди сактоо боюнча түшүндүрүү иштери жүргүзүлөт.</w:t>
            </w:r>
          </w:p>
        </w:tc>
        <w:tc>
          <w:tcPr>
            <w:tcW w:w="1842" w:type="dxa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Иш план</w:t>
            </w:r>
          </w:p>
        </w:tc>
      </w:tr>
      <w:tr w:rsidR="00024719" w:rsidRPr="007524CD" w:rsidTr="00E93091">
        <w:tc>
          <w:tcPr>
            <w:tcW w:w="516" w:type="dxa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4</w:t>
            </w: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.3</w:t>
            </w:r>
          </w:p>
        </w:tc>
        <w:tc>
          <w:tcPr>
            <w:tcW w:w="4157" w:type="dxa"/>
            <w:gridSpan w:val="2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Материалдык-техникалык базаны жана маалыматтык ресурстарды жакшыртуу боюнча ишти топтоо, баалоо, талдоо жана пландоо механизминин болушу</w:t>
            </w:r>
          </w:p>
        </w:tc>
        <w:tc>
          <w:tcPr>
            <w:tcW w:w="3261" w:type="dxa"/>
          </w:tcPr>
          <w:p w:rsidR="00024719" w:rsidRPr="00BF6736" w:rsidRDefault="00024719" w:rsidP="00E930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2015-2020-жылдарда коюлган пландардын </w:t>
            </w:r>
            <w:r w:rsidR="004D47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85% аткарылды. Мектепте утурумдук р</w:t>
            </w:r>
            <w:r w:rsidR="001B3A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емонт окуу жылынын аягында жүрг</w:t>
            </w:r>
            <w:r w:rsidR="004D47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зүлүп турат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,айлана-чөйрөнү</w:t>
            </w:r>
            <w:r w:rsidR="004D47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 жашылдандыруу боюнча  70 </w:t>
            </w:r>
            <w:r w:rsidR="007B5A1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түп кайың, 10 түп роза , ель, 27</w:t>
            </w:r>
            <w:r w:rsidR="004D47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 түп саада көчөттөр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 отургузулду.</w:t>
            </w:r>
            <w:r w:rsidR="004D47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 Ашканага суу киргизилип Мерсиконун азык-түлүк программасына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 кирип</w:t>
            </w:r>
            <w:r w:rsidR="004D479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  заманбап шаймандар менен жабдылды. </w:t>
            </w:r>
          </w:p>
        </w:tc>
        <w:tc>
          <w:tcPr>
            <w:tcW w:w="1842" w:type="dxa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Материалдык базаны чыңдоо планы</w:t>
            </w:r>
          </w:p>
        </w:tc>
      </w:tr>
      <w:tr w:rsidR="00024719" w:rsidRPr="002C26C1" w:rsidTr="00644C2B">
        <w:tc>
          <w:tcPr>
            <w:tcW w:w="2122" w:type="dxa"/>
            <w:gridSpan w:val="2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Күчтүү жактар: </w:t>
            </w:r>
          </w:p>
        </w:tc>
        <w:tc>
          <w:tcPr>
            <w:tcW w:w="7654" w:type="dxa"/>
            <w:gridSpan w:val="3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МЧС менен биргеликте семинар-тренингдердин уюштурулушу жана эвакуациялык пландардын бекитилиши. Медайым тарабынан мугалимдердин, көмөкчү-персоналдардын жана окуучулардын ден соолугунун көзөмөлдөнүшү. </w:t>
            </w:r>
          </w:p>
        </w:tc>
      </w:tr>
      <w:tr w:rsidR="00024719" w:rsidRPr="00BF6736" w:rsidTr="00644C2B">
        <w:tc>
          <w:tcPr>
            <w:tcW w:w="2122" w:type="dxa"/>
            <w:gridSpan w:val="2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Алсыз жактар:</w:t>
            </w:r>
          </w:p>
        </w:tc>
        <w:tc>
          <w:tcPr>
            <w:tcW w:w="7654" w:type="dxa"/>
            <w:gridSpan w:val="3"/>
          </w:tcPr>
          <w:p w:rsidR="00024719" w:rsidRPr="00BF6736" w:rsidRDefault="00024719" w:rsidP="00E9309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BF67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Мектептин жаңы эмеректер менен камсыз болбошу.</w:t>
            </w:r>
          </w:p>
        </w:tc>
      </w:tr>
    </w:tbl>
    <w:p w:rsidR="00024719" w:rsidRDefault="00024719" w:rsidP="0002471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4719" w:rsidRDefault="00024719" w:rsidP="0002471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24719" w:rsidRDefault="00024719" w:rsidP="0002471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24719" w:rsidRPr="00BF6736" w:rsidRDefault="00024719" w:rsidP="0002471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F6736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БИЛИМ БЕРҮҮ УЮМУНУН МАТЕРИАЛДЫК-ТЕХНИКАЛЫК БАЗАСЫ ЖӨНҮНДӨ МААЛЫМАТ</w:t>
      </w:r>
    </w:p>
    <w:tbl>
      <w:tblPr>
        <w:tblStyle w:val="a3"/>
        <w:tblW w:w="9516" w:type="dxa"/>
        <w:tblInd w:w="108" w:type="dxa"/>
        <w:tblBorders>
          <w:top w:val="single" w:sz="12" w:space="0" w:color="222A35" w:themeColor="text2" w:themeShade="80"/>
          <w:left w:val="single" w:sz="12" w:space="0" w:color="222A35" w:themeColor="text2" w:themeShade="80"/>
          <w:bottom w:val="single" w:sz="12" w:space="0" w:color="222A35" w:themeColor="text2" w:themeShade="80"/>
          <w:right w:val="single" w:sz="12" w:space="0" w:color="222A35" w:themeColor="text2" w:themeShade="80"/>
          <w:insideH w:val="single" w:sz="12" w:space="0" w:color="222A35" w:themeColor="text2" w:themeShade="80"/>
          <w:insideV w:val="single" w:sz="12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13"/>
        <w:gridCol w:w="1560"/>
        <w:gridCol w:w="1276"/>
      </w:tblGrid>
      <w:tr w:rsidR="00024719" w:rsidRPr="00BF6736" w:rsidTr="00E93091">
        <w:tc>
          <w:tcPr>
            <w:tcW w:w="567" w:type="dxa"/>
          </w:tcPr>
          <w:p w:rsidR="00024719" w:rsidRPr="00C419A3" w:rsidRDefault="00024719" w:rsidP="00E93091">
            <w:pPr>
              <w:spacing w:line="240" w:lineRule="auto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C419A3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№</w:t>
            </w:r>
          </w:p>
        </w:tc>
        <w:tc>
          <w:tcPr>
            <w:tcW w:w="6113" w:type="dxa"/>
          </w:tcPr>
          <w:p w:rsidR="00024719" w:rsidRPr="00C419A3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proofErr w:type="spellStart"/>
            <w:r w:rsidRPr="00C419A3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Тизме</w:t>
            </w:r>
            <w:proofErr w:type="spellEnd"/>
            <w:r w:rsidRPr="00C419A3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24719" w:rsidRPr="00C419A3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proofErr w:type="spellStart"/>
            <w:r w:rsidRPr="00C419A3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Колдо</w:t>
            </w:r>
            <w:proofErr w:type="spellEnd"/>
            <w:r w:rsidRPr="00C419A3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бары(</w:t>
            </w:r>
            <w:proofErr w:type="spellStart"/>
            <w:r w:rsidRPr="00C419A3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ооба,жок</w:t>
            </w:r>
            <w:proofErr w:type="spellEnd"/>
            <w:r w:rsidRPr="00C419A3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24719" w:rsidRPr="00C419A3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ky-KG"/>
              </w:rPr>
            </w:pPr>
            <w:proofErr w:type="spellStart"/>
            <w:r w:rsidRPr="00C419A3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эскерт</w:t>
            </w:r>
            <w:proofErr w:type="spellEnd"/>
            <w:r w:rsidRPr="00C419A3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ky-KG"/>
              </w:rPr>
              <w:t>үү</w:t>
            </w:r>
          </w:p>
        </w:tc>
      </w:tr>
      <w:tr w:rsidR="00024719" w:rsidRPr="00BF6736" w:rsidTr="00E93091">
        <w:tc>
          <w:tcPr>
            <w:tcW w:w="567" w:type="dxa"/>
            <w:vMerge w:val="restart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9" w:type="dxa"/>
            <w:gridSpan w:val="3"/>
          </w:tcPr>
          <w:p w:rsidR="00024719" w:rsidRPr="00C419A3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C419A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Окуу</w:t>
            </w:r>
            <w:proofErr w:type="spellEnd"/>
            <w:r w:rsidRPr="00C419A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C419A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кабинеттери</w:t>
            </w:r>
            <w:proofErr w:type="spellEnd"/>
            <w:r w:rsidRPr="00C419A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:</w:t>
            </w: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Чет тили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Компьютердик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компьютерлердин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санын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көрсөтүү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24719" w:rsidRPr="00BF6736" w:rsidRDefault="00EB4491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4719" w:rsidRPr="00BF6736" w:rsidTr="00E93091">
        <w:tc>
          <w:tcPr>
            <w:tcW w:w="567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Тизме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Колдо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бары 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ооба,жок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эскерт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</w:tr>
      <w:tr w:rsidR="00024719" w:rsidRPr="00BF6736" w:rsidTr="00E93091">
        <w:tc>
          <w:tcPr>
            <w:tcW w:w="567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Административдик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бөлмө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директордун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орун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басарынын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кабинеттери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Дааратканалар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абалын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көрсөтүү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жабдылган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имаратта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же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көчөдө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 w:val="restart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Китепкана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китепкана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фондун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бирдигин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көрсөтүү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Китеп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сактоо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, архив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залы 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отургузуучу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орундардын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санын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көрсөтүү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 w:val="restart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Адистештирилген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кабинеттер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лабораториялар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24719" w:rsidRPr="00BF6736" w:rsidRDefault="00EB4491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 w:val="restart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аянты</w:t>
            </w:r>
            <w:proofErr w:type="spellEnd"/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vMerge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Гимнастикалык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/спорт зал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Музыкалык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бөлмө</w:t>
            </w:r>
            <w:proofErr w:type="spellEnd"/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Ашкана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отургузуучу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орундарды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көрсөтүү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EB4491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4719" w:rsidRPr="00BF6736" w:rsidTr="00E93091">
        <w:tc>
          <w:tcPr>
            <w:tcW w:w="567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3" w:type="dxa"/>
          </w:tcPr>
          <w:p w:rsidR="00024719" w:rsidRPr="00BF6736" w:rsidRDefault="00EB4491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Азем</w:t>
            </w:r>
            <w:proofErr w:type="spellEnd"/>
            <w:r w:rsidR="00024719"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залы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EB4491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24719" w:rsidRPr="00BF6736" w:rsidTr="00E93091">
        <w:tc>
          <w:tcPr>
            <w:tcW w:w="567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3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Эмгекке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үйрөтүү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кабинеттери</w:t>
            </w:r>
            <w:proofErr w:type="spellEnd"/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tcBorders>
              <w:righ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Жылуулук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системасынын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болушу</w:t>
            </w:r>
            <w:proofErr w:type="spellEnd"/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tcBorders>
              <w:righ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Жылуулук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системасынын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иштеши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түрүн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көрсөтүү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Default="00EB4491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Борборлоштурулган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491" w:rsidRPr="00EB4491" w:rsidRDefault="00EB4491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(көмүр)</w:t>
            </w:r>
          </w:p>
        </w:tc>
      </w:tr>
      <w:tr w:rsidR="00024719" w:rsidRPr="00BF6736" w:rsidTr="00E93091">
        <w:tc>
          <w:tcPr>
            <w:tcW w:w="567" w:type="dxa"/>
            <w:tcBorders>
              <w:righ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имаратынын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абалы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(1 –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абдан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начар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,  2 –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начар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, 3 –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канааттандырарлык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, 4 –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567" w:type="dxa"/>
            <w:tcBorders>
              <w:righ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Санитардык-эпидемиологиялык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кызматтын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өрт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көзөмөлүнүн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корутундусу</w:t>
            </w:r>
            <w:proofErr w:type="spellEnd"/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9" w:rsidRPr="00BF6736" w:rsidTr="00E93091">
        <w:tc>
          <w:tcPr>
            <w:tcW w:w="6680" w:type="dxa"/>
            <w:gridSpan w:val="2"/>
          </w:tcPr>
          <w:p w:rsidR="00024719" w:rsidRPr="00BF6736" w:rsidRDefault="00024719" w:rsidP="00E93091">
            <w:pPr>
              <w:spacing w:line="240" w:lineRule="auto"/>
              <w:ind w:hanging="5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Колдо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бары(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ооба,жок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</w:tr>
      <w:tr w:rsidR="00024719" w:rsidRPr="00BF6736" w:rsidTr="00E93091">
        <w:tc>
          <w:tcPr>
            <w:tcW w:w="567" w:type="dxa"/>
            <w:tcBorders>
              <w:righ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Окуучулар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тарабынан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пайдаланылган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компьютерлердин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EB4491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4719" w:rsidRPr="00BF6736" w:rsidTr="00E93091">
        <w:tc>
          <w:tcPr>
            <w:tcW w:w="567" w:type="dxa"/>
            <w:tcBorders>
              <w:righ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пайдаланган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компьютерлердин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саны </w:t>
            </w: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окуучулар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пайдаланбаган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EB4491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719" w:rsidRPr="00BF6736" w:rsidTr="00E93091">
        <w:tc>
          <w:tcPr>
            <w:tcW w:w="567" w:type="dxa"/>
            <w:tcBorders>
              <w:righ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даярдоодо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мугалимдер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көчүрмө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аппараттын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принтери</w:t>
            </w:r>
            <w:proofErr w:type="spellEnd"/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EB4491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719" w:rsidRPr="00BF6736" w:rsidTr="00E93091">
        <w:tc>
          <w:tcPr>
            <w:tcW w:w="567" w:type="dxa"/>
            <w:tcBorders>
              <w:righ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Интернет 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типти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көрсөтүү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719" w:rsidRPr="00BF6736" w:rsidTr="00E93091">
        <w:tc>
          <w:tcPr>
            <w:tcW w:w="567" w:type="dxa"/>
            <w:tcBorders>
              <w:righ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Интерактивдүү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электрондук</w:t>
            </w:r>
            <w:proofErr w:type="spellEnd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) такта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719" w:rsidRPr="00BF6736" w:rsidTr="00E93091">
        <w:tc>
          <w:tcPr>
            <w:tcW w:w="567" w:type="dxa"/>
            <w:tcBorders>
              <w:righ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Видеоплеер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</w:p>
        </w:tc>
        <w:tc>
          <w:tcPr>
            <w:tcW w:w="1276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719" w:rsidRPr="00BF6736" w:rsidTr="00E93091">
        <w:tc>
          <w:tcPr>
            <w:tcW w:w="567" w:type="dxa"/>
            <w:tcBorders>
              <w:righ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3" w:type="dxa"/>
            <w:tcBorders>
              <w:left w:val="single" w:sz="4" w:space="0" w:color="auto"/>
            </w:tcBorders>
          </w:tcPr>
          <w:p w:rsidR="00024719" w:rsidRPr="00BF6736" w:rsidRDefault="00024719" w:rsidP="00E930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560" w:type="dxa"/>
          </w:tcPr>
          <w:p w:rsidR="00024719" w:rsidRPr="00BF6736" w:rsidRDefault="00024719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36">
              <w:rPr>
                <w:rFonts w:ascii="Times New Roman" w:hAnsi="Times New Roman" w:cs="Times New Roman"/>
                <w:sz w:val="24"/>
                <w:szCs w:val="24"/>
              </w:rPr>
              <w:t>ооба</w:t>
            </w:r>
            <w:proofErr w:type="spellEnd"/>
          </w:p>
        </w:tc>
        <w:tc>
          <w:tcPr>
            <w:tcW w:w="1276" w:type="dxa"/>
          </w:tcPr>
          <w:p w:rsidR="00024719" w:rsidRPr="00BF6736" w:rsidRDefault="00EB4491" w:rsidP="00E930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4719" w:rsidRDefault="00024719" w:rsidP="000247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4719" w:rsidRDefault="00024719" w:rsidP="000247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5A16" w:rsidRPr="00172C8D" w:rsidRDefault="007B5A16" w:rsidP="007B5A16">
      <w:pPr>
        <w:numPr>
          <w:ilvl w:val="0"/>
          <w:numId w:val="1"/>
        </w:numPr>
        <w:tabs>
          <w:tab w:val="clear" w:pos="360"/>
          <w:tab w:val="num" w:pos="720"/>
        </w:tabs>
        <w:spacing w:after="160" w:line="480" w:lineRule="auto"/>
        <w:ind w:left="72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2C8D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Долбоорлор жана спонсорлор менен аткарылган иштер.</w:t>
      </w:r>
    </w:p>
    <w:p w:rsidR="007B5A16" w:rsidRPr="00172C8D" w:rsidRDefault="007B5A16" w:rsidP="007B5A1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72C8D">
        <w:rPr>
          <w:rFonts w:ascii="Times New Roman" w:hAnsi="Times New Roman" w:cs="Times New Roman"/>
          <w:sz w:val="24"/>
          <w:szCs w:val="24"/>
          <w:lang w:val="ky-KG"/>
        </w:rPr>
        <w:t>2017-жылы мектептин ашканасын жаңылоого Мерсико уюмунан 207,630 с,демөөрчүлөр тарабынан 149095 сом салым киргизилип,1-4 –класстын оуучулары ысык тамак менен камсыз болушту.О.э. Мерсико уюму 2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аристон,4 раковина менен камсыздады</w:t>
      </w:r>
      <w:r w:rsidRPr="00172C8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7B5A16" w:rsidRPr="00172C8D" w:rsidRDefault="007B5A16" w:rsidP="007B5A16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2018-жылы 30 жылдыктардын</w:t>
      </w:r>
      <w:r w:rsidRPr="00172C8D">
        <w:rPr>
          <w:rFonts w:ascii="Times New Roman" w:hAnsi="Times New Roman" w:cs="Times New Roman"/>
          <w:sz w:val="24"/>
          <w:szCs w:val="24"/>
          <w:lang w:val="ky-KG"/>
        </w:rPr>
        <w:t xml:space="preserve"> бир бүтүрүүчүсү   1 аристон 4 раковина алып берди.(26000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72C8D">
        <w:rPr>
          <w:rFonts w:ascii="Times New Roman" w:hAnsi="Times New Roman" w:cs="Times New Roman"/>
          <w:sz w:val="24"/>
          <w:szCs w:val="24"/>
          <w:lang w:val="ky-KG"/>
        </w:rPr>
        <w:t>с</w:t>
      </w:r>
      <w:r>
        <w:rPr>
          <w:rFonts w:ascii="Times New Roman" w:hAnsi="Times New Roman" w:cs="Times New Roman"/>
          <w:sz w:val="24"/>
          <w:szCs w:val="24"/>
          <w:lang w:val="ky-KG"/>
        </w:rPr>
        <w:t>омду түзөт</w:t>
      </w:r>
      <w:r w:rsidRPr="00172C8D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7B5A16" w:rsidRPr="00172C8D" w:rsidRDefault="007B5A16" w:rsidP="007B5A1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72C8D">
        <w:rPr>
          <w:rFonts w:ascii="Times New Roman" w:hAnsi="Times New Roman" w:cs="Times New Roman"/>
          <w:sz w:val="24"/>
          <w:szCs w:val="24"/>
          <w:lang w:val="ky-KG"/>
        </w:rPr>
        <w:t xml:space="preserve"> 20 жылдык бүтүрүүчүлөр тарабынан 1 интерактивдүү доска ,1 проектор, актовый залга 2 блок парта, спорт залга топ алып беришти.(95000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72C8D">
        <w:rPr>
          <w:rFonts w:ascii="Times New Roman" w:hAnsi="Times New Roman" w:cs="Times New Roman"/>
          <w:sz w:val="24"/>
          <w:szCs w:val="24"/>
          <w:lang w:val="ky-KG"/>
        </w:rPr>
        <w:t>с</w:t>
      </w:r>
      <w:r>
        <w:rPr>
          <w:rFonts w:ascii="Times New Roman" w:hAnsi="Times New Roman" w:cs="Times New Roman"/>
          <w:sz w:val="24"/>
          <w:szCs w:val="24"/>
          <w:lang w:val="ky-KG"/>
        </w:rPr>
        <w:t>омду түзөт</w:t>
      </w:r>
      <w:r w:rsidRPr="00172C8D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7B5A16" w:rsidRPr="00172C8D" w:rsidRDefault="007B5A16" w:rsidP="007B5A1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72C8D">
        <w:rPr>
          <w:rFonts w:ascii="Times New Roman" w:hAnsi="Times New Roman" w:cs="Times New Roman"/>
          <w:sz w:val="24"/>
          <w:szCs w:val="24"/>
          <w:lang w:val="ky-KG"/>
        </w:rPr>
        <w:t>2019-жылы 10 жылдык бүтүрүүчүлөр мектептин спорт аянтчасына 80000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72C8D">
        <w:rPr>
          <w:rFonts w:ascii="Times New Roman" w:hAnsi="Times New Roman" w:cs="Times New Roman"/>
          <w:sz w:val="24"/>
          <w:szCs w:val="24"/>
          <w:lang w:val="ky-KG"/>
        </w:rPr>
        <w:t>сом өлчөмүндө  2 скамейка жана урналарды орнотуп беришти.  20 жылдык бүтүрүүчүлөр 1интерактивдүү доска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72C8D">
        <w:rPr>
          <w:rFonts w:ascii="Times New Roman" w:hAnsi="Times New Roman" w:cs="Times New Roman"/>
          <w:sz w:val="24"/>
          <w:szCs w:val="24"/>
          <w:lang w:val="ky-KG"/>
        </w:rPr>
        <w:t>(65000 сом) , ашкананын тамак ичүүчү  10 ст</w:t>
      </w:r>
      <w:r>
        <w:rPr>
          <w:rFonts w:ascii="Times New Roman" w:hAnsi="Times New Roman" w:cs="Times New Roman"/>
          <w:sz w:val="24"/>
          <w:szCs w:val="24"/>
          <w:lang w:val="ky-KG"/>
        </w:rPr>
        <w:t>олун (30000 сом) жаңылап берди</w:t>
      </w:r>
      <w:r w:rsidRPr="00172C8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7B5A16" w:rsidRPr="00172C8D" w:rsidRDefault="007B5A16" w:rsidP="007B5A1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72C8D">
        <w:rPr>
          <w:rFonts w:ascii="Times New Roman" w:hAnsi="Times New Roman" w:cs="Times New Roman"/>
          <w:sz w:val="24"/>
          <w:szCs w:val="24"/>
          <w:lang w:val="ky-KG"/>
        </w:rPr>
        <w:t xml:space="preserve"> Мектептин санитардык абалын жакшыртуу максатында кичи кызматкерлер үчүн 11000 сомдук  аристон коюлуп,кичи кызматкерлер ысык суу менен камсыз болушту.</w:t>
      </w:r>
    </w:p>
    <w:p w:rsidR="007B5A16" w:rsidRPr="00172C8D" w:rsidRDefault="007B5A16" w:rsidP="007B5A1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72C8D">
        <w:rPr>
          <w:rFonts w:ascii="Times New Roman" w:hAnsi="Times New Roman" w:cs="Times New Roman"/>
          <w:sz w:val="24"/>
          <w:szCs w:val="24"/>
          <w:lang w:val="ky-KG"/>
        </w:rPr>
        <w:t>2020-жылы 20 жылдык бүтүрүүчүлөр мектептин кире беришиндеги чатырын оңдоп,жаңы шифер коюшту,ал эми  башталгыч класстын кире беришине чатырча жасатып беришти.</w:t>
      </w:r>
    </w:p>
    <w:p w:rsidR="007B5A16" w:rsidRPr="00172C8D" w:rsidRDefault="007B5A16" w:rsidP="007B5A1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72C8D">
        <w:rPr>
          <w:rFonts w:ascii="Times New Roman" w:hAnsi="Times New Roman" w:cs="Times New Roman"/>
          <w:sz w:val="24"/>
          <w:szCs w:val="24"/>
          <w:lang w:val="ky-KG"/>
        </w:rPr>
        <w:t>2021-жылы 1980-жылкы бүтүрүүчүлөр мектепти жашылдандыруу үчүн 17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72C8D">
        <w:rPr>
          <w:rFonts w:ascii="Times New Roman" w:hAnsi="Times New Roman" w:cs="Times New Roman"/>
          <w:sz w:val="24"/>
          <w:szCs w:val="24"/>
          <w:lang w:val="ky-KG"/>
        </w:rPr>
        <w:t>даана көчөт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отургузуп, суу чыгартып берди</w:t>
      </w:r>
      <w:r w:rsidRPr="00172C8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7B5A16" w:rsidRDefault="007B5A16" w:rsidP="007B5A16">
      <w:r w:rsidRPr="00172C8D">
        <w:rPr>
          <w:rFonts w:ascii="Times New Roman" w:hAnsi="Times New Roman" w:cs="Times New Roman"/>
          <w:sz w:val="24"/>
          <w:szCs w:val="24"/>
          <w:lang w:val="ky-KG"/>
        </w:rPr>
        <w:t>Мугалимдер тарабынан да 27даана саада көчөттөр отургузулду.</w:t>
      </w:r>
    </w:p>
    <w:p w:rsidR="006C1008" w:rsidRPr="002C26C1" w:rsidRDefault="002C26C1">
      <w:pPr>
        <w:rPr>
          <w:rFonts w:ascii="Times New Roman" w:hAnsi="Times New Roman" w:cs="Times New Roman"/>
          <w:lang w:val="ky-KG"/>
        </w:rPr>
      </w:pPr>
      <w:r w:rsidRPr="002C26C1">
        <w:rPr>
          <w:rFonts w:ascii="Times New Roman" w:hAnsi="Times New Roman" w:cs="Times New Roman"/>
        </w:rPr>
        <w:t xml:space="preserve">2022-жылы 1975-жылкы 30 </w:t>
      </w:r>
      <w:proofErr w:type="spellStart"/>
      <w:r w:rsidRPr="002C26C1">
        <w:rPr>
          <w:rFonts w:ascii="Times New Roman" w:hAnsi="Times New Roman" w:cs="Times New Roman"/>
        </w:rPr>
        <w:t>жылдык</w:t>
      </w:r>
      <w:proofErr w:type="spellEnd"/>
      <w:r w:rsidRPr="002C26C1">
        <w:rPr>
          <w:rFonts w:ascii="Times New Roman" w:hAnsi="Times New Roman" w:cs="Times New Roman"/>
        </w:rPr>
        <w:t xml:space="preserve"> б</w:t>
      </w:r>
      <w:r w:rsidRPr="002C26C1">
        <w:rPr>
          <w:rFonts w:ascii="Times New Roman" w:hAnsi="Times New Roman" w:cs="Times New Roman"/>
          <w:lang w:val="ky-KG"/>
        </w:rPr>
        <w:t xml:space="preserve">үтүрүүчүлөр башталгыч </w:t>
      </w:r>
      <w:proofErr w:type="gramStart"/>
      <w:r w:rsidRPr="002C26C1">
        <w:rPr>
          <w:rFonts w:ascii="Times New Roman" w:hAnsi="Times New Roman" w:cs="Times New Roman"/>
          <w:lang w:val="ky-KG"/>
        </w:rPr>
        <w:t>класстарга  окуу</w:t>
      </w:r>
      <w:proofErr w:type="gramEnd"/>
      <w:r w:rsidRPr="002C26C1">
        <w:rPr>
          <w:rFonts w:ascii="Times New Roman" w:hAnsi="Times New Roman" w:cs="Times New Roman"/>
          <w:lang w:val="ky-KG"/>
        </w:rPr>
        <w:t xml:space="preserve"> залын уюштуруп, эмеректерди жасатып беришти.</w:t>
      </w:r>
      <w:bookmarkStart w:id="0" w:name="_GoBack"/>
      <w:bookmarkEnd w:id="0"/>
    </w:p>
    <w:sectPr w:rsidR="006C1008" w:rsidRPr="002C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465C"/>
    <w:multiLevelType w:val="hybridMultilevel"/>
    <w:tmpl w:val="1DE07B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19"/>
    <w:rsid w:val="00024719"/>
    <w:rsid w:val="001B3AA8"/>
    <w:rsid w:val="002C26C1"/>
    <w:rsid w:val="004D479C"/>
    <w:rsid w:val="00644C2B"/>
    <w:rsid w:val="006C1008"/>
    <w:rsid w:val="007B5A16"/>
    <w:rsid w:val="00BB7C45"/>
    <w:rsid w:val="00E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9751"/>
  <w15:chartTrackingRefBased/>
  <w15:docId w15:val="{113780DE-3852-4112-949D-B6FB524C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2022-04-28T09:07:00Z</dcterms:created>
  <dcterms:modified xsi:type="dcterms:W3CDTF">2022-06-22T05:30:00Z</dcterms:modified>
</cp:coreProperties>
</file>